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17" w:rsidRDefault="00877117" w:rsidP="00877117">
      <w:pPr>
        <w:pStyle w:val="Standard"/>
        <w:rPr>
          <w:rFonts w:hint="eastAsia"/>
        </w:rPr>
      </w:pPr>
    </w:p>
    <w:p w:rsidR="00877117" w:rsidRDefault="008D6C3B" w:rsidP="00877117">
      <w:pPr>
        <w:rPr>
          <w:rFonts w:hint="eastAsia"/>
          <w:szCs w:val="21"/>
        </w:rPr>
        <w:sectPr w:rsidR="00877117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hint="eastAsia"/>
          <w:noProof/>
          <w:szCs w:val="21"/>
          <w:lang w:eastAsia="ru-RU" w:bidi="ar-SA"/>
        </w:rPr>
        <w:drawing>
          <wp:inline distT="0" distB="0" distL="0" distR="0">
            <wp:extent cx="6193394" cy="876233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564" cy="876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117" w:rsidRDefault="00877117" w:rsidP="00877117">
      <w:pPr>
        <w:pStyle w:val="Standard"/>
        <w:rPr>
          <w:rFonts w:hint="eastAsia"/>
        </w:rPr>
      </w:pPr>
      <w:bookmarkStart w:id="0" w:name="_GoBack"/>
    </w:p>
    <w:p w:rsidR="00877117" w:rsidRDefault="00877117" w:rsidP="00877117">
      <w:pPr>
        <w:rPr>
          <w:rFonts w:hint="eastAsia"/>
          <w:szCs w:val="21"/>
        </w:rPr>
        <w:sectPr w:rsidR="00877117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bookmarkEnd w:id="0"/>
    <w:p w:rsidR="00877117" w:rsidRPr="008D6C3B" w:rsidRDefault="008D6C3B" w:rsidP="00877117">
      <w:pPr>
        <w:pStyle w:val="Textbody"/>
        <w:rPr>
          <w:rFonts w:hint="eastAsia"/>
          <w:b/>
        </w:rPr>
      </w:pPr>
      <w:r>
        <w:lastRenderedPageBreak/>
        <w:t> </w:t>
      </w:r>
      <w:r w:rsidR="00877117" w:rsidRPr="008D6C3B">
        <w:rPr>
          <w:b/>
        </w:rPr>
        <w:t>Паспорт</w:t>
      </w:r>
    </w:p>
    <w:p w:rsidR="00877117" w:rsidRDefault="00877117" w:rsidP="00877117">
      <w:pPr>
        <w:pStyle w:val="Textbody"/>
        <w:rPr>
          <w:rFonts w:hint="eastAsia"/>
        </w:rPr>
      </w:pPr>
      <w:r>
        <w:t xml:space="preserve"> Программы</w:t>
      </w:r>
    </w:p>
    <w:tbl>
      <w:tblPr>
        <w:tblW w:w="963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7627"/>
      </w:tblGrid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Наименование Программы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Профилактика безнадзорности и правонарушений несовершеннолетних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Основания для разработки Программы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Федеральный закон РФ «Об образовании», Федеральный закон от 24 июня 1999 года № 120-ФЗ "Об основах системы профилактики безнадзорности и правонарушений несовершеннолетних";  Семейный кодекс РФ от 29.12.1995г. № 223-ФЗ;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Период реализации Программы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2020- 2023 учебные гг.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Цели Программы    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t>Содействие созданию благоприятных условий для полноценного развития  ребенка в семье, школе, социуме.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"/>
              </w:numPr>
              <w:spacing w:after="283"/>
              <w:rPr>
                <w:rFonts w:hint="eastAsia"/>
              </w:rPr>
            </w:pPr>
            <w:r>
              <w:t>Совершенствование системы профилактики безнадзорности и правонарушений несовершеннолетних.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Основные задачи Программы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t>Обеспечение защиты прав и законных интересов несовершеннолетних.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t>Социально-педагогическая реабилитация несовершеннолетних, находящихся в социально-опасном положении.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2"/>
              </w:numPr>
              <w:spacing w:after="283"/>
              <w:rPr>
                <w:rFonts w:hint="eastAsia"/>
              </w:rPr>
            </w:pPr>
            <w:r>
              <w:t>Выявление и пресечение случаев вовлечения несовершеннолетних в совершение преступлений и антиобщественных действий.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Ожидаемые результаты: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Создание комплексной системы социальной профилактики безнадзорности и правонарушений несовершеннолетних;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Обеспечение защиты прав и законных интересов несовершеннолетних;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Стабилизация ситуации в семье;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Уменьшение количества неуспевающих учащихся;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Увеличение числа детей и подростков, ведущих здоровый образ жизни;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Снижение уровня безнадзорности и правонарушений несовершеннолетними.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Разработчик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Программы</w:t>
            </w: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Цыренова И.Д., социальный педагог МАОУ «СОШ №64»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лан</w:t>
            </w:r>
            <w:proofErr w:type="spellEnd"/>
            <w:r>
              <w:t>-Удэ</w:t>
            </w:r>
          </w:p>
        </w:tc>
      </w:tr>
      <w:tr w:rsidR="00877117" w:rsidTr="00F922B4">
        <w:tc>
          <w:tcPr>
            <w:tcW w:w="2011" w:type="dxa"/>
            <w:vAlign w:val="center"/>
          </w:tcPr>
          <w:p w:rsidR="00877117" w:rsidRPr="008D6C3B" w:rsidRDefault="00877117" w:rsidP="00F922B4">
            <w:pPr>
              <w:pStyle w:val="TableContents"/>
              <w:spacing w:after="283"/>
              <w:rPr>
                <w:rFonts w:hint="eastAsia"/>
              </w:rPr>
            </w:pPr>
          </w:p>
          <w:p w:rsidR="00B34C75" w:rsidRPr="008D6C3B" w:rsidRDefault="00B34C75" w:rsidP="00F922B4">
            <w:pPr>
              <w:pStyle w:val="TableContents"/>
              <w:spacing w:after="283"/>
              <w:rPr>
                <w:rFonts w:hint="eastAsia"/>
              </w:rPr>
            </w:pPr>
          </w:p>
          <w:p w:rsidR="00B34C75" w:rsidRPr="008D6C3B" w:rsidRDefault="00B34C75" w:rsidP="00F922B4">
            <w:pPr>
              <w:pStyle w:val="TableContents"/>
              <w:spacing w:after="283"/>
              <w:rPr>
                <w:rFonts w:hint="eastAsia"/>
              </w:rPr>
            </w:pP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</w:p>
        </w:tc>
        <w:tc>
          <w:tcPr>
            <w:tcW w:w="7627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</w:p>
        </w:tc>
      </w:tr>
    </w:tbl>
    <w:p w:rsidR="00877117" w:rsidRPr="00B34C75" w:rsidRDefault="00877117" w:rsidP="00877117">
      <w:pPr>
        <w:pStyle w:val="Textbody"/>
        <w:rPr>
          <w:rFonts w:hint="eastAsia"/>
          <w:b/>
        </w:rPr>
      </w:pPr>
      <w:r w:rsidRPr="00B34C75">
        <w:rPr>
          <w:b/>
        </w:rPr>
        <w:lastRenderedPageBreak/>
        <w:t>Пояснительная записка</w:t>
      </w:r>
    </w:p>
    <w:p w:rsidR="00877117" w:rsidRDefault="00877117" w:rsidP="00877117">
      <w:pPr>
        <w:pStyle w:val="Textbody"/>
        <w:rPr>
          <w:rFonts w:hint="eastAsia"/>
        </w:rPr>
      </w:pPr>
      <w:r>
        <w:t xml:space="preserve"> </w:t>
      </w:r>
      <w:r>
        <w:tab/>
        <w:t>Растет число педагогически несостоятельных и конфликтных семей, налицо дефицит общения родителей и детей.      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 Многие семьи переживают сегодня тяжелый кризис. Утрачено значительное число семейно-нравственных традиций, изменилось отношение родителей к детям. В новых кризисных условиях семья не готова взять на себя ответственность за воспитание детей, так как изменившиеся экономические условия заставляют родителей большей частью искать источники существования, а не заниматься вопросами воспитания детей в семье. В этой ситуации неустойчивые семьи стали более нестабильными и деградируют, фактически бросая своих детей на произвол судьбы.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Только за последние пять лет у нас в поселке почти вдвое увеличилось количество семей, оказавшихся в трудной жизненной ситуации. Ухудшается психологический климат и в устойчивых семьях. Резкое увеличение стрессовых ситуаций сказывается на детях.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 Неблагополучие семьи обычно отражается на всех сферах жизни ребенка: школьная успеваемость снижается, появляется отчуждение к школе, уличная компания становится заменой авторитета родителей, в ней ребенок старается получить признание.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 Непрерывный рост подростковой преступности тревожит родителей, педагогов, инспекторов ПДН, общественность. Необходимо искать пути выхода из создавшейся ситуации.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 Социальная профилактика несовершеннолетних, формирование здорового образа жизни, законопослушного поведения, предотвращения правонарушений среди учащихся и реабилитации подростков занимает ведущее направление в деятельности общеобразовательного учреждения. Большое внимание в профилактической работе уделяется формированию правовой культуры подростков, многие из которых, достигнув 14-летнего возраста, еще не осознали с полной ответственностью всю серьезность юридической и правовой ответственности в структуре общественных отношений.</w:t>
      </w:r>
    </w:p>
    <w:p w:rsidR="00877117" w:rsidRDefault="00877117" w:rsidP="00877117">
      <w:pPr>
        <w:pStyle w:val="Textbody"/>
        <w:rPr>
          <w:rFonts w:hint="eastAsia"/>
        </w:rPr>
      </w:pPr>
      <w:r>
        <w:t xml:space="preserve">       Необходимость введения в школе работы по профилактике безнадзорности и правонарушений несовершеннолетних связана с ухудшением </w:t>
      </w:r>
      <w:proofErr w:type="gramStart"/>
      <w:r>
        <w:t>криминогенной обстановки</w:t>
      </w:r>
      <w:proofErr w:type="gramEnd"/>
      <w:r>
        <w:t xml:space="preserve"> среди несовершеннолетних поселка, омоложением возраста правонарушителей, незанятостью значительного числа подростков, увеличением числа несовершеннолетних, употребляющих </w:t>
      </w:r>
      <w:proofErr w:type="spellStart"/>
      <w:r>
        <w:t>алкоголесодержащие</w:t>
      </w:r>
      <w:proofErr w:type="spellEnd"/>
      <w:r>
        <w:t xml:space="preserve"> напитки, токсические вещества, социальной нестабильностью ситуаций во многих семьях.</w:t>
      </w:r>
    </w:p>
    <w:p w:rsidR="00877117" w:rsidRDefault="00877117" w:rsidP="00877117">
      <w:pPr>
        <w:pStyle w:val="Textbody"/>
        <w:rPr>
          <w:rFonts w:hint="eastAsia"/>
        </w:rPr>
      </w:pPr>
      <w:r>
        <w:t>     На основании диагностики и анализа полученных данных об обучающихся и их семьях формировались причины отклонения в поведении несовершеннолетнего.</w:t>
      </w:r>
    </w:p>
    <w:p w:rsidR="00877117" w:rsidRDefault="00877117" w:rsidP="00877117">
      <w:pPr>
        <w:pStyle w:val="Textbody"/>
        <w:rPr>
          <w:rFonts w:hint="eastAsia"/>
        </w:rPr>
      </w:pPr>
      <w:proofErr w:type="gramStart"/>
      <w:r>
        <w:t>К типичным отклонениям в поведении обучающихся относятся: лень, упрямство, агрессивность, недисциплинированность, уклонение от занятий, нарушение Устава ОУ.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 Типичными причинами отклонений в поведении детей  в нашей школе являются: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lastRenderedPageBreak/>
        <w:t>безнадзорность в семье из-за занятости или пьянства родителей, семейного неблагополучия;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отсутствие единства в  требованиях  родителей и педагогов;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низкий уровень культуры и психолого-педагогической образованности родителей;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нарушение эмоциональной, волевой сферы личности ребенка, отсутствие моральных и этических норм;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социальная неустроенность родителей, отсутствие материальных средств;</w:t>
      </w:r>
    </w:p>
    <w:p w:rsidR="00877117" w:rsidRDefault="00877117" w:rsidP="00877117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 xml:space="preserve">нарушение </w:t>
      </w:r>
      <w:proofErr w:type="spellStart"/>
      <w:r>
        <w:t>родительско</w:t>
      </w:r>
      <w:proofErr w:type="spellEnd"/>
      <w:r>
        <w:t xml:space="preserve"> - детских отношений;</w:t>
      </w:r>
    </w:p>
    <w:p w:rsidR="00877117" w:rsidRDefault="00877117" w:rsidP="00877117">
      <w:pPr>
        <w:pStyle w:val="Textbody"/>
        <w:numPr>
          <w:ilvl w:val="0"/>
          <w:numId w:val="3"/>
        </w:numPr>
        <w:rPr>
          <w:rFonts w:hint="eastAsia"/>
        </w:rPr>
      </w:pPr>
      <w:r>
        <w:t>семья находится в состоянии развода.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Наличие того или иного фактора социального неблагополучия в семье ведет к возникновению социальных отклонений в поведении детей,  влечет явление  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877117" w:rsidRDefault="00877117" w:rsidP="00877117">
      <w:pPr>
        <w:pStyle w:val="Textbody"/>
        <w:rPr>
          <w:rFonts w:hint="eastAsia"/>
        </w:rPr>
      </w:pPr>
      <w:r>
        <w:t>Объект деятельности: воспитанники «группы риска» учебно-воспитательного процесса.</w:t>
      </w:r>
    </w:p>
    <w:p w:rsidR="00877117" w:rsidRDefault="00877117" w:rsidP="00877117">
      <w:pPr>
        <w:pStyle w:val="Textbody"/>
        <w:rPr>
          <w:rFonts w:hint="eastAsia"/>
        </w:rPr>
      </w:pPr>
      <w:r>
        <w:t>Предмет деятельности: социально-педагогические условия развития личности воспитанника «группы риска».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</w:t>
      </w:r>
      <w:proofErr w:type="gramStart"/>
      <w:r>
        <w:t>Деятельность по профилактике безнадзорности и правонарушений несовершеннолетними основывается на принципах законности, демократизма, гуманного отношения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обеспечение ответственности должностных лиц и граждан за нарушение прав и законных интересов несовершеннолетних.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Цели Программы:</w:t>
      </w:r>
    </w:p>
    <w:p w:rsidR="00877117" w:rsidRDefault="00877117" w:rsidP="00877117">
      <w:pPr>
        <w:pStyle w:val="Textbody"/>
        <w:numPr>
          <w:ilvl w:val="0"/>
          <w:numId w:val="4"/>
        </w:numPr>
        <w:spacing w:after="0"/>
        <w:rPr>
          <w:rFonts w:hint="eastAsia"/>
        </w:rPr>
      </w:pPr>
      <w: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877117" w:rsidRDefault="00877117" w:rsidP="00877117">
      <w:pPr>
        <w:pStyle w:val="Textbody"/>
        <w:numPr>
          <w:ilvl w:val="0"/>
          <w:numId w:val="4"/>
        </w:numPr>
        <w:spacing w:after="0"/>
        <w:rPr>
          <w:rFonts w:hint="eastAsia"/>
        </w:rPr>
      </w:pPr>
      <w:r>
        <w:t>Содействие созданию благоприятных условий для полноценного развития  ребенка в семье, школе, социуме.</w:t>
      </w:r>
    </w:p>
    <w:p w:rsidR="00877117" w:rsidRDefault="00877117" w:rsidP="00877117">
      <w:pPr>
        <w:pStyle w:val="Textbody"/>
        <w:numPr>
          <w:ilvl w:val="0"/>
          <w:numId w:val="4"/>
        </w:numPr>
        <w:rPr>
          <w:rFonts w:hint="eastAsia"/>
        </w:rPr>
      </w:pPr>
      <w:r>
        <w:t>Совершенствование системы профилактики безнадзорности и правонарушений несовершеннолетних.</w:t>
      </w:r>
    </w:p>
    <w:p w:rsidR="00877117" w:rsidRDefault="00877117" w:rsidP="00877117">
      <w:pPr>
        <w:pStyle w:val="Textbody"/>
        <w:rPr>
          <w:rFonts w:hint="eastAsia"/>
        </w:rPr>
      </w:pPr>
      <w:r>
        <w:t>Задачи Программы: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Выявление асоциальных и неблагополучных детей;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 xml:space="preserve">Выявление и устранение причин </w:t>
      </w:r>
      <w:proofErr w:type="gramStart"/>
      <w:r>
        <w:t>социальной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детей;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Способствование устранению и преодолению трудностей в социализации школьников, оказавшихся в трудной жизненной ситуации.  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Повышение уровня информированности учащихся, педагогов, родителей о законодательной базе, нормативно-правовых документах федерального, регионального, муниципального уровней.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Предупреждение и нейтрализация нарушений Устава ОУ.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lastRenderedPageBreak/>
        <w:t>Осуществление индивидуального подхода в социально-педагогической реабилитации несовершеннолетних, обеспечение защиты прав и законных интересов детей, оставшихся без попечения родителей.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Оказание социально-педагогической, психолого-педагогической поддержки асоциальным детям и их семьям, защита их прав и интересов.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Создание социально-педагогических условий для развития личности в условиях образовательного учреждения.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Создание условий для успешной самореализации личности ребенка и повышения его самооценки.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Формирование у детей положительной мотивации к обучению и участию в жизни класса и школы.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Осуществление педагогической деятельности по воспитанию здорового образа жизни школьников и формированию у них негативного отношения к вредным привычкам.</w:t>
      </w:r>
    </w:p>
    <w:p w:rsidR="00877117" w:rsidRDefault="00877117" w:rsidP="00877117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t>Обеспечение координации всех участников воспитательного процесса в организации профилактической работы по предупреждению безнадзорности и правонарушений несовершеннолетних.</w:t>
      </w:r>
    </w:p>
    <w:p w:rsidR="00877117" w:rsidRDefault="00877117" w:rsidP="00877117">
      <w:pPr>
        <w:pStyle w:val="Textbody"/>
        <w:numPr>
          <w:ilvl w:val="0"/>
          <w:numId w:val="5"/>
        </w:numPr>
        <w:rPr>
          <w:rFonts w:hint="eastAsia"/>
        </w:rPr>
      </w:pPr>
      <w:r>
        <w:t>Отработка действенных механизмов сотрудничества школы и милиции, Центра по реабилитации несовершеннолетних, инспектора по охране материнства и детства,  КДН</w:t>
      </w:r>
      <w:proofErr w:type="gramStart"/>
      <w:r>
        <w:t xml:space="preserve"> 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Органы и учреждения системы профилактики безнадзорности и правонарушений несовершеннолетних</w:t>
      </w:r>
    </w:p>
    <w:p w:rsidR="00877117" w:rsidRDefault="00877117" w:rsidP="00877117">
      <w:pPr>
        <w:pStyle w:val="Textbody"/>
        <w:rPr>
          <w:rFonts w:hint="eastAsia"/>
        </w:rPr>
      </w:pPr>
      <w:r>
        <w:t>В систему профилактики безнадзорности и правонарушений несовершеннолетних входят: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Комитет социальной защиты населения.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Комитет по образованию.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Органы опеки и попечительства.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Органы внутренних дел.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Органы по делам молодежи.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КДН</w:t>
      </w:r>
      <w:proofErr w:type="gramStart"/>
      <w:r>
        <w:t xml:space="preserve"> .</w:t>
      </w:r>
      <w:proofErr w:type="gramEnd"/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Здравоохранение.</w:t>
      </w:r>
    </w:p>
    <w:p w:rsidR="00877117" w:rsidRDefault="00877117" w:rsidP="00877117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Служба занятости населения.</w:t>
      </w:r>
    </w:p>
    <w:p w:rsidR="00877117" w:rsidRDefault="00877117" w:rsidP="00877117">
      <w:pPr>
        <w:pStyle w:val="Textbody"/>
        <w:numPr>
          <w:ilvl w:val="0"/>
          <w:numId w:val="6"/>
        </w:numPr>
        <w:rPr>
          <w:rFonts w:hint="eastAsia"/>
        </w:rPr>
      </w:pPr>
      <w:r>
        <w:t>Учреждения дополнительного образования.</w:t>
      </w:r>
    </w:p>
    <w:p w:rsidR="00877117" w:rsidRDefault="00877117" w:rsidP="00877117">
      <w:pPr>
        <w:pStyle w:val="Textbody"/>
        <w:rPr>
          <w:rFonts w:hint="eastAsia"/>
        </w:rPr>
      </w:pPr>
      <w:r>
        <w:t>Формы работы: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Индивидуальное консультирование детей и родителей.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Курирование семьи.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Родительские собрания на дому.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Консультации психолога.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Круглый стол.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КТД.</w:t>
      </w:r>
    </w:p>
    <w:p w:rsidR="00877117" w:rsidRDefault="00877117" w:rsidP="00877117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Консультации выездной профилактической комплексной  Комиссии.</w:t>
      </w:r>
    </w:p>
    <w:p w:rsidR="00877117" w:rsidRDefault="00877117" w:rsidP="00877117">
      <w:pPr>
        <w:pStyle w:val="Textbody"/>
        <w:numPr>
          <w:ilvl w:val="0"/>
          <w:numId w:val="7"/>
        </w:numPr>
        <w:rPr>
          <w:rFonts w:hint="eastAsia"/>
        </w:rPr>
      </w:pPr>
      <w:r>
        <w:t>Просвещение детей и родителей.</w:t>
      </w:r>
    </w:p>
    <w:p w:rsidR="00877117" w:rsidRDefault="00877117" w:rsidP="00877117">
      <w:pPr>
        <w:pStyle w:val="Textbody"/>
        <w:rPr>
          <w:rFonts w:hint="eastAsia"/>
        </w:rPr>
      </w:pPr>
      <w:r>
        <w:t>Методы работы: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lastRenderedPageBreak/>
        <w:t>Наблюдение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Опрос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Анкетирование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Тестирование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Беседа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Изучение документов и продуктов деятельности школьников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Диагностика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Сопровождение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Игра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Убеждение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Моральная поддержка</w:t>
      </w:r>
    </w:p>
    <w:p w:rsidR="00877117" w:rsidRDefault="00877117" w:rsidP="00877117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Сопереживание</w:t>
      </w:r>
    </w:p>
    <w:p w:rsidR="00877117" w:rsidRDefault="00877117" w:rsidP="00877117">
      <w:pPr>
        <w:pStyle w:val="Textbody"/>
        <w:numPr>
          <w:ilvl w:val="0"/>
          <w:numId w:val="8"/>
        </w:numPr>
        <w:rPr>
          <w:rFonts w:hint="eastAsia"/>
        </w:rPr>
      </w:pPr>
      <w:r>
        <w:t>Сотрудничество</w:t>
      </w:r>
    </w:p>
    <w:p w:rsidR="00877117" w:rsidRDefault="00877117" w:rsidP="00877117">
      <w:pPr>
        <w:pStyle w:val="Textbody"/>
        <w:rPr>
          <w:rFonts w:hint="eastAsia"/>
        </w:rPr>
      </w:pPr>
      <w:r>
        <w:t xml:space="preserve">Нормативно-правовая </w:t>
      </w:r>
      <w:proofErr w:type="gramStart"/>
      <w:r>
        <w:t>база  Программы</w:t>
      </w:r>
      <w:proofErr w:type="gramEnd"/>
      <w:r>
        <w:t>: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Конвенция  ООН о правах ребенка;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Федеральный закон «Об основных гарантиях прав ребенка в РФ» от 24.07.1998г № 124-ФЗ;  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Федеральный закон от 24 июня 1999 года № 120-ФЗ "Об основах системы профилактики безнадзорности и правонарушений несовершеннолетних";  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Семейный кодекс РФ от 29.12.1995г. № 223-ФЗ;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Конституция Российской Федерации от 12.12.1993г.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Федеральный закон РФ «Об образовании,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Кодекс РФ «Об административных правонарушениях» от 30 декабря 2001г. № 195-ФЗ;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Федеральный закон от 8 января 1998 года № 3-ФЗ "О наркотических средствах и психотропных веществах";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Об экстренных мерах по решению проблем детской беспризорности и безнадзорности (Приказ МОРФ от 29.01.2001г. № 237);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«О принятии безотлагательных мер по возвращению несовершеннолетних, самовольно ушедших из семей, образовательных, иных детских учреждений» Письмо МО РФ от 06.11.2001г. № 1313/28-5;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Областной Закон «О правовом регулировании в системе образования Ленинградской области». 2001г.,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Муниципальная целевая программа «Обеспечение правопорядка и безопасности граждан на территории Всеволожского муниципального района на 2008-2010 годы».        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Устав ОУ</w:t>
      </w:r>
    </w:p>
    <w:p w:rsidR="00877117" w:rsidRDefault="00877117" w:rsidP="00877117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Программа развития ОУ</w:t>
      </w:r>
    </w:p>
    <w:p w:rsidR="00877117" w:rsidRDefault="00877117" w:rsidP="00877117">
      <w:pPr>
        <w:pStyle w:val="Textbody"/>
        <w:numPr>
          <w:ilvl w:val="0"/>
          <w:numId w:val="9"/>
        </w:numPr>
        <w:rPr>
          <w:rFonts w:hint="eastAsia"/>
        </w:rPr>
      </w:pPr>
      <w:r>
        <w:t>Концепция воспитания ОУ</w:t>
      </w:r>
    </w:p>
    <w:p w:rsidR="00877117" w:rsidRDefault="00877117" w:rsidP="00877117">
      <w:pPr>
        <w:pStyle w:val="Textbody"/>
        <w:rPr>
          <w:rFonts w:hint="eastAsia"/>
        </w:rPr>
      </w:pPr>
      <w:r>
        <w:t>Ожидаемые результаты: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Создание комплексной системы социальной профилактики безнадзорности и правонарушений несовершеннолетних.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Обеспечение защиты прав и законных интересов несовершеннолетних.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lastRenderedPageBreak/>
        <w:t>Стабилизация ситуации в семье.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Увеличение числа детей, включенных в КТД.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Уменьшение количества неуспевающих учащихся.</w:t>
      </w:r>
    </w:p>
    <w:p w:rsidR="00877117" w:rsidRDefault="00877117" w:rsidP="00877117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Увеличение числа детей и подростков, ведущих здоровый образ жизни.</w:t>
      </w:r>
    </w:p>
    <w:p w:rsidR="00877117" w:rsidRDefault="00877117" w:rsidP="00877117">
      <w:pPr>
        <w:pStyle w:val="Textbody"/>
        <w:numPr>
          <w:ilvl w:val="0"/>
          <w:numId w:val="10"/>
        </w:numPr>
        <w:rPr>
          <w:rFonts w:hint="eastAsia"/>
        </w:rPr>
      </w:pPr>
      <w:r>
        <w:t>Снижение уровня безнадзорности и правонарушений несовершеннолетними.</w:t>
      </w:r>
    </w:p>
    <w:p w:rsidR="00877117" w:rsidRDefault="00877117" w:rsidP="00877117">
      <w:pPr>
        <w:pStyle w:val="Textbody"/>
        <w:rPr>
          <w:rFonts w:hint="eastAsia"/>
        </w:rPr>
      </w:pPr>
      <w:r>
        <w:t>       Мероприятия программы "Профилактика безнадзорности и правонарушений несовершеннолетних, их социальная реабилитация" направлены на защиту прав детей, находящихся в особо сложных обстоятельствах. Дети «группы риска» - это незащищенные и незрелые в силу возраста граждане, оказавшиеся в неблагоприятных условиях содержания, воспитания и развития. Эти условия отражаются на процессе социализации личности и влекут за собой неблагоприятные последствия, как для личности, так и для общества в целом.</w:t>
      </w:r>
    </w:p>
    <w:p w:rsidR="00877117" w:rsidRPr="00B34C75" w:rsidRDefault="00877117" w:rsidP="00877117">
      <w:pPr>
        <w:pStyle w:val="Textbody"/>
        <w:rPr>
          <w:rFonts w:hint="eastAsia"/>
          <w:b/>
        </w:rPr>
      </w:pPr>
      <w:r w:rsidRPr="00B34C75">
        <w:rPr>
          <w:b/>
        </w:rPr>
        <w:t>План мероприятий Программы</w:t>
      </w:r>
    </w:p>
    <w:tbl>
      <w:tblPr>
        <w:tblW w:w="963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4518"/>
        <w:gridCol w:w="1615"/>
        <w:gridCol w:w="873"/>
        <w:gridCol w:w="2278"/>
      </w:tblGrid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№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Мероприятие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Целевая группа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 Сроки</w:t>
            </w:r>
          </w:p>
        </w:tc>
        <w:tc>
          <w:tcPr>
            <w:tcW w:w="2278" w:type="dxa"/>
            <w:vAlign w:val="center"/>
          </w:tcPr>
          <w:p w:rsidR="00877117" w:rsidRDefault="00877117" w:rsidP="00877117">
            <w:pPr>
              <w:pStyle w:val="TableContents"/>
              <w:spacing w:after="283"/>
              <w:rPr>
                <w:rFonts w:hint="eastAsia"/>
              </w:rPr>
            </w:pPr>
            <w:r>
              <w:t>Участники взаимодействия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1.      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proofErr w:type="spellStart"/>
            <w:r>
              <w:t>Охранно</w:t>
            </w:r>
            <w:proofErr w:type="spellEnd"/>
            <w:r>
              <w:t xml:space="preserve"> </w:t>
            </w:r>
            <w:proofErr w:type="gramStart"/>
            <w:r>
              <w:t>-з</w:t>
            </w:r>
            <w:proofErr w:type="gramEnd"/>
            <w:r>
              <w:t>ащитная деятельность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1.1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Диагностика учащихся, процесса и условий их развития: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анкетирование и тестирование учащихся;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анализ медицинских карт;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изучение личных дел учащихся;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систематическое педагогическое наблюдение за учащимися;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установление причин педагогической запущенности;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изучение социального статуса ребенка и условия жизни в семье, классе, школе;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определение круга общения подростка;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изучение уровней физического, психического и интеллектуального развития ребенка, его склонностей и интересов;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выявление детей, находящихся в социально опасном положении;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выявление подростков, не приступивших к занятиям;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выявление детей, склонных к пропускам занятий без уважительной причины;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 xml:space="preserve">выявление безнадзорных детей и </w:t>
            </w:r>
            <w:r>
              <w:lastRenderedPageBreak/>
              <w:t>детей, склонных к правонарушениям, курению, употреблению алкоголя, наркотических и психотропных веществ;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составление картотеки с базой данных по детям, нуждающимся в помощи и поддержке государства;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уточнение числа учащихся, состоящих на учете в ОДН;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анализ состояния преступности среди школьников в микрорайоне;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анализ причин, способствующих возникновению трудной жизненной ситуации;</w:t>
            </w:r>
          </w:p>
          <w:p w:rsidR="00877117" w:rsidRDefault="00877117" w:rsidP="00877117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t>выбор оптимального варианта социально-</w:t>
            </w:r>
            <w:proofErr w:type="spellStart"/>
            <w:r>
              <w:t>педпгогической</w:t>
            </w:r>
            <w:proofErr w:type="spellEnd"/>
            <w:r>
              <w:t xml:space="preserve">  технологии и способа ее реализации;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>Учащиеся начальной, средней, старшей ступеней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педагог-психолог, зам. директора по ВР,  классные руководители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>1.2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Правовая и просветительская работа: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классные часы «Права и обязанности школьника», «Административная и уголовная ответственность несовершеннолетних»;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дни «Правовых знаний»;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просвещение родителей: тематические родительские собрания, беседы, лектории;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патронаж семей;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выступления на педсоветах, консультации для классных руководителей, учителей-предметников по работе с трудными детьми;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подготовка информационных стендов «Права ребенка»;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подбор литературы по правам человека;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организация в ОУ общедоступных спортивных секций, кружков и клубов различных направлений и привлечение к участию в них несовершеннолетних;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>содействие в привлечение к ответственности виновных в семейном насилии над детьми;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rPr>
                <w:rFonts w:hint="eastAsia"/>
              </w:rPr>
            </w:pPr>
            <w:r>
              <w:t xml:space="preserve">содействие в привлечении к ответственности родителей, не выполняющих обязанности по воспитанию, содержанию и </w:t>
            </w:r>
            <w:r>
              <w:lastRenderedPageBreak/>
              <w:t>обучению своих детей;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2"/>
              </w:numPr>
              <w:spacing w:after="283"/>
              <w:rPr>
                <w:rFonts w:hint="eastAsia"/>
              </w:rPr>
            </w:pPr>
            <w:r>
              <w:t>содействие в направлении детей, оставшихся без попечения родителей, в СРЦН, приемные и опекунские семьи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>Учащиеся начальной, средней, старшей ступеней, родители, учителя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педагог-психолог, зам. директора по ВР, классные руководители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Профилактическая деятельность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2.1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Профилактика </w:t>
            </w:r>
            <w:proofErr w:type="spellStart"/>
            <w:r>
              <w:t>табакокурения</w:t>
            </w:r>
            <w:proofErr w:type="spellEnd"/>
            <w:r>
              <w:t>, алкоголизма, наркомании: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rPr>
                <w:rFonts w:hint="eastAsia"/>
              </w:rPr>
            </w:pPr>
            <w:r>
              <w:t>проведение классных часов «Профилактика нерационального питания», «Диалог о вредных привычках», «Чума XXI века»;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rPr>
                <w:rFonts w:hint="eastAsia"/>
              </w:rPr>
            </w:pPr>
            <w:r>
              <w:t>день борьбы со СПИДом;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rPr>
                <w:rFonts w:hint="eastAsia"/>
              </w:rPr>
            </w:pPr>
            <w:r>
              <w:t xml:space="preserve">выпуск </w:t>
            </w:r>
            <w:proofErr w:type="spellStart"/>
            <w:r>
              <w:t>санбюллетеней</w:t>
            </w:r>
            <w:proofErr w:type="spellEnd"/>
            <w:r>
              <w:t>, антирекламы, стенгазет по первичной профилактике вредных привычек,   конкурсы, стихи, сочинения;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rPr>
                <w:rFonts w:hint="eastAsia"/>
              </w:rPr>
            </w:pPr>
            <w:r>
              <w:t>родительские лектории по профилактике вредных привычек у подростков;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rPr>
                <w:rFonts w:hint="eastAsia"/>
              </w:rPr>
            </w:pPr>
            <w:r>
              <w:t>выявление несовершеннолетних, склонных к правонарушениям;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3"/>
              </w:numPr>
              <w:spacing w:after="283"/>
              <w:rPr>
                <w:rFonts w:hint="eastAsia"/>
              </w:rPr>
            </w:pPr>
            <w:r>
              <w:t>проведение медицинских обследований подростков, склонных к употреблению ПАВ;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Учащиеся начальной, средней, старшей ступеней, родители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педагог-психолог, зам. директора по ВР,  классные руководители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2.2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Профилактика неуспеваемости: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rPr>
                <w:rFonts w:hint="eastAsia"/>
              </w:rPr>
            </w:pPr>
            <w:r>
              <w:t>выявление несовершеннолетних, не посещающих или систематически пропускающих по неуважительным причинам занятия в ОУ;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rPr>
                <w:rFonts w:hint="eastAsia"/>
              </w:rPr>
            </w:pPr>
            <w:r>
              <w:t>устранение конфликтных ситуаций в школе (ученик-ученик, учитель-ученик, родитель-учитель);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rPr>
                <w:rFonts w:hint="eastAsia"/>
              </w:rPr>
            </w:pPr>
            <w:r>
              <w:t>индивидуальные консультации для родителей, обучающихся, учителей;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rPr>
                <w:rFonts w:hint="eastAsia"/>
              </w:rPr>
            </w:pPr>
            <w:r>
              <w:t>принятие своевременных мер по воспитанию и получению ими основного общего образования;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rPr>
                <w:rFonts w:hint="eastAsia"/>
              </w:rPr>
            </w:pPr>
            <w:r>
              <w:t xml:space="preserve">оказание своевременной помощи в устранении </w:t>
            </w:r>
            <w:proofErr w:type="spellStart"/>
            <w:r>
              <w:t>родительско</w:t>
            </w:r>
            <w:proofErr w:type="spellEnd"/>
            <w:r>
              <w:t>-детских  конфликтов;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4"/>
              </w:numPr>
              <w:spacing w:after="283"/>
              <w:rPr>
                <w:rFonts w:hint="eastAsia"/>
              </w:rPr>
            </w:pPr>
            <w:r>
              <w:t>выявление семей, находящихся в социально-опасном положении, и оказание им помощи в воспитании и обучении детей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Учащиеся начальной, средней, старшей ступеней, родители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педагог-психолог, зам. директора по ВР,  классные руководители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lastRenderedPageBreak/>
              <w:t>3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Организационная деятельность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3.1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Организация досуга детей «группы риска»: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t>организация спортивно-массовых мероприятий;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t>организация летних оздоровительных, трудовых лагерей;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5"/>
              </w:numPr>
              <w:spacing w:after="283"/>
              <w:rPr>
                <w:rFonts w:hint="eastAsia"/>
              </w:rPr>
            </w:pPr>
            <w:r>
              <w:t>оказание содействия в устройстве детей в санатории;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Учащиеся начальной, средней, старшей ступеней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Социальный педагог,   классные руководители, педагог-организатор,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3.2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Координация взаимодействия влияния на ребенка педагогов, родителей, сверстников: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t>устранение негативных воздействий в семье;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t>повышение педагогического потенциала семьи;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6"/>
              </w:numPr>
              <w:spacing w:after="283"/>
              <w:rPr>
                <w:rFonts w:hint="eastAsia"/>
              </w:rPr>
            </w:pPr>
            <w:r>
              <w:t>патронаж семей детей «группы риска»;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Организация выездной комплексной комиссии со специалистами: психолог, нарколог, гинеколог, инспектор ОДН, ПДД;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Содействие детям и их семьям в получении пенсий, пособий;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Организация ЛТО;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Содействие в трудоустройстве подростков, находящихся в трудной жизненной ситуации;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Учащиеся начальной, средней, старшей ступеней,</w:t>
            </w:r>
          </w:p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родители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педагог-психолог, зам. директора по ВР,  классные руководители</w:t>
            </w: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4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Образовательно-воспитательная деятельность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877117" w:rsidTr="00F922B4">
        <w:tc>
          <w:tcPr>
            <w:tcW w:w="354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4.1</w:t>
            </w:r>
          </w:p>
        </w:tc>
        <w:tc>
          <w:tcPr>
            <w:tcW w:w="4518" w:type="dxa"/>
            <w:vAlign w:val="center"/>
          </w:tcPr>
          <w:p w:rsidR="00877117" w:rsidRDefault="00877117" w:rsidP="00F922B4">
            <w:pPr>
              <w:pStyle w:val="TableContents"/>
              <w:numPr>
                <w:ilvl w:val="0"/>
                <w:numId w:val="17"/>
              </w:numPr>
              <w:rPr>
                <w:rFonts w:hint="eastAsia"/>
              </w:rPr>
            </w:pPr>
            <w:r>
              <w:t>Включение детей, находящихся в трудной жизненной ситуации, в трудовые, спортивные, культурные мероприятия школы, района.</w:t>
            </w:r>
          </w:p>
          <w:p w:rsidR="00877117" w:rsidRDefault="00877117" w:rsidP="00F922B4">
            <w:pPr>
              <w:pStyle w:val="TableContents"/>
              <w:numPr>
                <w:ilvl w:val="0"/>
                <w:numId w:val="17"/>
              </w:numPr>
              <w:spacing w:after="283"/>
              <w:rPr>
                <w:rFonts w:hint="eastAsia"/>
              </w:rPr>
            </w:pPr>
            <w:r>
              <w:t>Повышение уровня культуры и психолого-педагогической образованности родителей</w:t>
            </w:r>
          </w:p>
        </w:tc>
        <w:tc>
          <w:tcPr>
            <w:tcW w:w="1615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Учащиеся начальной, средней, старшей ступеней, родители</w:t>
            </w:r>
          </w:p>
        </w:tc>
        <w:tc>
          <w:tcPr>
            <w:tcW w:w="873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В течение года</w:t>
            </w:r>
          </w:p>
        </w:tc>
        <w:tc>
          <w:tcPr>
            <w:tcW w:w="2278" w:type="dxa"/>
            <w:vAlign w:val="center"/>
          </w:tcPr>
          <w:p w:rsidR="00877117" w:rsidRDefault="00877117" w:rsidP="00F922B4">
            <w:pPr>
              <w:pStyle w:val="TableContents"/>
              <w:spacing w:after="283"/>
              <w:rPr>
                <w:rFonts w:hint="eastAsia"/>
              </w:rPr>
            </w:pPr>
            <w:r>
              <w:t>Социальный педагог, педагог-организатор, зам. директора по ВР,  классные руководители</w:t>
            </w:r>
          </w:p>
        </w:tc>
      </w:tr>
    </w:tbl>
    <w:p w:rsidR="00877117" w:rsidRDefault="00877117" w:rsidP="00877117">
      <w:pPr>
        <w:pStyle w:val="Textbody"/>
        <w:rPr>
          <w:rFonts w:hint="eastAsia"/>
        </w:rPr>
      </w:pPr>
      <w:r>
        <w:t>Эффективные методы по созданию благоприятных условий для детей и подростков в ОУ: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Обеспечение бесплатным питанием детей из неблагополучных семей;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Обеспечение бесплатными учебниками;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Обеспечение бесплатным проездом;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Бесплатное лечение детей и оздоровление в период каникул;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Вовлечение в летний трудовой лагерь;</w:t>
      </w:r>
    </w:p>
    <w:p w:rsidR="00877117" w:rsidRDefault="00877117" w:rsidP="00877117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lastRenderedPageBreak/>
        <w:t>Вовлечение в КТД;</w:t>
      </w:r>
    </w:p>
    <w:p w:rsidR="00877117" w:rsidRDefault="00877117" w:rsidP="00877117">
      <w:pPr>
        <w:pStyle w:val="Textbody"/>
        <w:numPr>
          <w:ilvl w:val="0"/>
          <w:numId w:val="18"/>
        </w:numPr>
        <w:rPr>
          <w:rFonts w:hint="eastAsia"/>
        </w:rPr>
      </w:pPr>
      <w:r>
        <w:t>Вовлечение в работу Совета старшеклассников.</w:t>
      </w:r>
    </w:p>
    <w:p w:rsidR="00877117" w:rsidRDefault="00877117" w:rsidP="00877117">
      <w:pPr>
        <w:pStyle w:val="Textbody"/>
        <w:rPr>
          <w:rFonts w:hint="eastAsia"/>
        </w:rPr>
      </w:pPr>
      <w:r>
        <w:t>        Критерии успешной деятельности для полноценного развития ребенка в школе, семье, социуме:</w:t>
      </w:r>
    </w:p>
    <w:p w:rsidR="00877117" w:rsidRDefault="00877117" w:rsidP="00877117">
      <w:pPr>
        <w:pStyle w:val="Textbody"/>
        <w:numPr>
          <w:ilvl w:val="0"/>
          <w:numId w:val="19"/>
        </w:numPr>
        <w:spacing w:after="0"/>
        <w:rPr>
          <w:rFonts w:hint="eastAsia"/>
        </w:rPr>
      </w:pPr>
      <w:r>
        <w:t>Установление доверительных взаимоотношений между специалистами и членами семьи.</w:t>
      </w:r>
    </w:p>
    <w:p w:rsidR="00877117" w:rsidRDefault="00877117" w:rsidP="00877117">
      <w:pPr>
        <w:pStyle w:val="Textbody"/>
        <w:numPr>
          <w:ilvl w:val="0"/>
          <w:numId w:val="19"/>
        </w:numPr>
        <w:rPr>
          <w:rFonts w:hint="eastAsia"/>
        </w:rPr>
      </w:pPr>
      <w:r>
        <w:t>Координация действия всех специалистов.</w:t>
      </w:r>
    </w:p>
    <w:p w:rsidR="00877117" w:rsidRDefault="00877117" w:rsidP="00877117">
      <w:pPr>
        <w:pStyle w:val="Textbody"/>
        <w:rPr>
          <w:rFonts w:hint="eastAsia"/>
        </w:rPr>
      </w:pPr>
      <w:r>
        <w:t>Основные понятия:</w:t>
      </w:r>
    </w:p>
    <w:p w:rsidR="00877117" w:rsidRDefault="00877117" w:rsidP="00877117">
      <w:pPr>
        <w:pStyle w:val="Textbody"/>
        <w:rPr>
          <w:rFonts w:hint="eastAsia"/>
        </w:rPr>
      </w:pPr>
      <w:r>
        <w:t>     Несовершеннолетний – лицо, не достигшее возраста восемнадцати лет.</w:t>
      </w:r>
    </w:p>
    <w:p w:rsidR="00877117" w:rsidRDefault="00877117" w:rsidP="00877117">
      <w:pPr>
        <w:pStyle w:val="Textbody"/>
        <w:rPr>
          <w:rFonts w:hint="eastAsia"/>
        </w:rPr>
      </w:pPr>
      <w:r>
        <w:t xml:space="preserve">     Безнадзорный – несовершеннолетний, </w:t>
      </w:r>
      <w:proofErr w:type="gramStart"/>
      <w:r>
        <w:t>контроль</w:t>
      </w:r>
      <w:proofErr w:type="gramEnd"/>
      <w: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содержанию со стороны родителей или иных законных представителей, либо должностных лиц.</w:t>
      </w:r>
    </w:p>
    <w:p w:rsidR="00877117" w:rsidRDefault="00877117" w:rsidP="00877117">
      <w:pPr>
        <w:pStyle w:val="Textbody"/>
        <w:rPr>
          <w:rFonts w:hint="eastAsia"/>
        </w:rPr>
      </w:pPr>
      <w:r>
        <w:t>     Беспризорный – безнадзорный, не имеющий места жительства и (или) места пребывания.</w:t>
      </w:r>
    </w:p>
    <w:p w:rsidR="00877117" w:rsidRDefault="00877117" w:rsidP="00877117">
      <w:pPr>
        <w:pStyle w:val="Textbody"/>
        <w:rPr>
          <w:rFonts w:hint="eastAsia"/>
        </w:rPr>
      </w:pPr>
      <w:r>
        <w:t>     </w:t>
      </w:r>
      <w:proofErr w:type="gramStart"/>
      <w:r>
        <w:t>Несовершеннолетний, находящийся в социально - опасном положении – лицо, которое вследствие безнадзорности 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     </w:t>
      </w:r>
      <w:proofErr w:type="gramStart"/>
      <w:r>
        <w:t>Антиобщественные действия 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     </w:t>
      </w:r>
      <w:proofErr w:type="gramStart"/>
      <w:r>
        <w:t>Семья, находящаяся в социально опасном положении – семья, имеющая детей, находящихся в социально - опасном положении, а также семья, где родители или иные законные представители несовершеннолетних  не исполняют свои обязанности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877117" w:rsidRDefault="00877117" w:rsidP="00877117">
      <w:pPr>
        <w:pStyle w:val="Textbody"/>
        <w:rPr>
          <w:rFonts w:hint="eastAsia"/>
        </w:rPr>
      </w:pPr>
      <w:r>
        <w:t>     Индивидуальная профилактическая работа – деятельность по своевременному выявлению несовершеннолетних и семей, находящихся в социально-опасном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877117" w:rsidRDefault="00877117" w:rsidP="00877117">
      <w:pPr>
        <w:pStyle w:val="Textbody"/>
        <w:rPr>
          <w:rFonts w:hint="eastAsia"/>
        </w:rPr>
      </w:pPr>
      <w:r>
        <w:t>     Профилактика безнадзорности и правонарушений несовершеннолетних 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877117" w:rsidRDefault="00877117" w:rsidP="00877117">
      <w:pPr>
        <w:rPr>
          <w:rFonts w:hint="eastAsia"/>
          <w:szCs w:val="21"/>
        </w:rPr>
        <w:sectPr w:rsidR="00877117" w:rsidSect="00877117">
          <w:type w:val="continuous"/>
          <w:pgSz w:w="11906" w:h="16838"/>
          <w:pgMar w:top="709" w:right="1134" w:bottom="426" w:left="1134" w:header="720" w:footer="720" w:gutter="0"/>
          <w:cols w:space="0"/>
        </w:sectPr>
      </w:pPr>
    </w:p>
    <w:p w:rsidR="00877117" w:rsidRDefault="00877117" w:rsidP="00877117">
      <w:pPr>
        <w:pStyle w:val="Standard"/>
        <w:rPr>
          <w:rFonts w:hint="eastAsia"/>
        </w:rPr>
      </w:pPr>
    </w:p>
    <w:p w:rsidR="00414E4C" w:rsidRDefault="00414E4C">
      <w:pPr>
        <w:rPr>
          <w:rFonts w:hint="eastAsia"/>
        </w:rPr>
      </w:pPr>
    </w:p>
    <w:sectPr w:rsidR="00414E4C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06F"/>
    <w:multiLevelType w:val="multilevel"/>
    <w:tmpl w:val="7A580B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8193BE9"/>
    <w:multiLevelType w:val="multilevel"/>
    <w:tmpl w:val="5802A93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150340B"/>
    <w:multiLevelType w:val="multilevel"/>
    <w:tmpl w:val="8806DD8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2234563E"/>
    <w:multiLevelType w:val="multilevel"/>
    <w:tmpl w:val="9E1AC0C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280169D4"/>
    <w:multiLevelType w:val="multilevel"/>
    <w:tmpl w:val="91FE232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284E02B1"/>
    <w:multiLevelType w:val="multilevel"/>
    <w:tmpl w:val="C6E6DA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3010038A"/>
    <w:multiLevelType w:val="multilevel"/>
    <w:tmpl w:val="E8BE67F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397867B4"/>
    <w:multiLevelType w:val="multilevel"/>
    <w:tmpl w:val="752472B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>
    <w:nsid w:val="3EF21D78"/>
    <w:multiLevelType w:val="multilevel"/>
    <w:tmpl w:val="983A5F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428076C3"/>
    <w:multiLevelType w:val="multilevel"/>
    <w:tmpl w:val="E104F5C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448C71F4"/>
    <w:multiLevelType w:val="multilevel"/>
    <w:tmpl w:val="FDDA35B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>
    <w:nsid w:val="4A782B84"/>
    <w:multiLevelType w:val="multilevel"/>
    <w:tmpl w:val="51BCFD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55F02C5B"/>
    <w:multiLevelType w:val="multilevel"/>
    <w:tmpl w:val="B1301D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56CC10D6"/>
    <w:multiLevelType w:val="multilevel"/>
    <w:tmpl w:val="334E877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58A338AE"/>
    <w:multiLevelType w:val="multilevel"/>
    <w:tmpl w:val="74E289F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62C32597"/>
    <w:multiLevelType w:val="multilevel"/>
    <w:tmpl w:val="A286989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65EE323C"/>
    <w:multiLevelType w:val="multilevel"/>
    <w:tmpl w:val="BB2873A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728F185D"/>
    <w:multiLevelType w:val="multilevel"/>
    <w:tmpl w:val="A70018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77942980"/>
    <w:multiLevelType w:val="multilevel"/>
    <w:tmpl w:val="9AF67BF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8"/>
  </w:num>
  <w:num w:numId="5">
    <w:abstractNumId w:val="7"/>
  </w:num>
  <w:num w:numId="6">
    <w:abstractNumId w:val="5"/>
  </w:num>
  <w:num w:numId="7">
    <w:abstractNumId w:val="10"/>
  </w:num>
  <w:num w:numId="8">
    <w:abstractNumId w:val="17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1"/>
  </w:num>
  <w:num w:numId="15">
    <w:abstractNumId w:val="14"/>
  </w:num>
  <w:num w:numId="16">
    <w:abstractNumId w:val="12"/>
  </w:num>
  <w:num w:numId="17">
    <w:abstractNumId w:val="4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17"/>
    <w:rsid w:val="00414E4C"/>
    <w:rsid w:val="00877117"/>
    <w:rsid w:val="008D6C3B"/>
    <w:rsid w:val="00B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1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77117"/>
    <w:pPr>
      <w:spacing w:after="140" w:line="288" w:lineRule="auto"/>
    </w:pPr>
  </w:style>
  <w:style w:type="paragraph" w:customStyle="1" w:styleId="TableContents">
    <w:name w:val="Table Contents"/>
    <w:basedOn w:val="Standard"/>
    <w:rsid w:val="00877117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8D6C3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3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1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77117"/>
    <w:pPr>
      <w:spacing w:after="140" w:line="288" w:lineRule="auto"/>
    </w:pPr>
  </w:style>
  <w:style w:type="paragraph" w:customStyle="1" w:styleId="TableContents">
    <w:name w:val="Table Contents"/>
    <w:basedOn w:val="Standard"/>
    <w:rsid w:val="00877117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8D6C3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3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2880</Words>
  <Characters>16417</Characters>
  <Application>Microsoft Office Word</Application>
  <DocSecurity>0</DocSecurity>
  <Lines>136</Lines>
  <Paragraphs>38</Paragraphs>
  <ScaleCrop>false</ScaleCrop>
  <Company>Microsoft</Company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Дашидоржиевна</dc:creator>
  <cp:keywords/>
  <dc:description/>
  <cp:lastModifiedBy>Ирина Дашидоржиевна</cp:lastModifiedBy>
  <cp:revision>3</cp:revision>
  <dcterms:created xsi:type="dcterms:W3CDTF">2021-04-08T08:32:00Z</dcterms:created>
  <dcterms:modified xsi:type="dcterms:W3CDTF">2021-10-28T03:49:00Z</dcterms:modified>
</cp:coreProperties>
</file>